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9FEF" w14:textId="77777777" w:rsidR="00292D86" w:rsidRPr="00E276BA" w:rsidRDefault="00292D86" w:rsidP="00292D86">
      <w:pPr>
        <w:jc w:val="center"/>
        <w:rPr>
          <w:sz w:val="56"/>
          <w:szCs w:val="56"/>
        </w:rPr>
      </w:pPr>
      <w:r>
        <w:rPr>
          <w:sz w:val="56"/>
          <w:szCs w:val="56"/>
        </w:rPr>
        <w:t>Dordon Primary School</w:t>
      </w:r>
    </w:p>
    <w:p w14:paraId="37BD7708" w14:textId="77777777" w:rsidR="00292D86" w:rsidRPr="00644B5D" w:rsidRDefault="00292D86" w:rsidP="00292D86">
      <w:r>
        <w:rPr>
          <w:noProof/>
          <w:lang w:eastAsia="en-GB"/>
        </w:rPr>
        <w:drawing>
          <wp:anchor distT="0" distB="0" distL="114300" distR="114300" simplePos="0" relativeHeight="251659264" behindDoc="1" locked="0" layoutInCell="1" allowOverlap="1" wp14:anchorId="1D47CF45" wp14:editId="788B9397">
            <wp:simplePos x="0" y="0"/>
            <wp:positionH relativeFrom="margin">
              <wp:align>center</wp:align>
            </wp:positionH>
            <wp:positionV relativeFrom="paragraph">
              <wp:posOffset>168275</wp:posOffset>
            </wp:positionV>
            <wp:extent cx="1206500" cy="1056640"/>
            <wp:effectExtent l="0" t="0" r="0" b="0"/>
            <wp:wrapThrough wrapText="bothSides">
              <wp:wrapPolygon edited="0">
                <wp:start x="0" y="0"/>
                <wp:lineTo x="0" y="21029"/>
                <wp:lineTo x="21145" y="21029"/>
                <wp:lineTo x="2114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0650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C3443" w14:textId="77777777" w:rsidR="00292D86" w:rsidRPr="00644B5D" w:rsidRDefault="00292D86" w:rsidP="00292D86"/>
    <w:p w14:paraId="6FBDDDAE" w14:textId="77777777" w:rsidR="00292D86" w:rsidRPr="00644B5D" w:rsidRDefault="00292D86" w:rsidP="00292D86"/>
    <w:p w14:paraId="61EE596A" w14:textId="77777777" w:rsidR="00292D86" w:rsidRPr="00644B5D" w:rsidRDefault="00292D86" w:rsidP="00292D86"/>
    <w:p w14:paraId="63F08388" w14:textId="0F51694E" w:rsidR="00292D86" w:rsidRDefault="00F5778E" w:rsidP="00292D86">
      <w:pPr>
        <w:widowControl w:val="0"/>
        <w:spacing w:after="120" w:line="240" w:lineRule="auto"/>
        <w:jc w:val="center"/>
        <w:rPr>
          <w:rFonts w:eastAsia="Times New Roman"/>
          <w:b/>
          <w:bCs/>
          <w:color w:val="002060"/>
          <w:sz w:val="96"/>
          <w:szCs w:val="96"/>
        </w:rPr>
      </w:pPr>
      <w:r>
        <w:rPr>
          <w:rFonts w:eastAsia="Times New Roman"/>
          <w:b/>
          <w:bCs/>
          <w:color w:val="002060"/>
          <w:sz w:val="96"/>
          <w:szCs w:val="96"/>
        </w:rPr>
        <w:t>E</w:t>
      </w:r>
      <w:r w:rsidR="00292D86">
        <w:rPr>
          <w:rFonts w:eastAsia="Times New Roman"/>
          <w:b/>
          <w:bCs/>
          <w:color w:val="002060"/>
          <w:sz w:val="96"/>
          <w:szCs w:val="96"/>
        </w:rPr>
        <w:t>quality Information</w:t>
      </w:r>
    </w:p>
    <w:p w14:paraId="4141A150" w14:textId="77777777" w:rsidR="00F5778E" w:rsidRPr="00BC1FF0" w:rsidRDefault="00F5778E" w:rsidP="00292D86">
      <w:pPr>
        <w:widowControl w:val="0"/>
        <w:spacing w:after="120" w:line="240" w:lineRule="auto"/>
        <w:jc w:val="center"/>
        <w:rPr>
          <w:rFonts w:eastAsia="Times New Roman"/>
          <w:b/>
          <w:bCs/>
          <w:color w:val="002060"/>
          <w:sz w:val="96"/>
          <w:szCs w:val="9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5778E" w14:paraId="4A9646BA" w14:textId="77777777" w:rsidTr="008A67A3">
        <w:tc>
          <w:tcPr>
            <w:tcW w:w="9016" w:type="dxa"/>
            <w:shd w:val="clear" w:color="auto" w:fill="auto"/>
          </w:tcPr>
          <w:p w14:paraId="07D8E18B" w14:textId="77777777" w:rsidR="00F5778E" w:rsidRPr="00E14DE0" w:rsidRDefault="00F5778E" w:rsidP="008A67A3">
            <w:pPr>
              <w:rPr>
                <w:rFonts w:ascii="Arial" w:hAnsi="Arial" w:cs="Arial"/>
                <w:b/>
                <w:bCs/>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897"/>
            </w:tblGrid>
            <w:tr w:rsidR="00F5778E" w:rsidRPr="00974157" w14:paraId="60D27841" w14:textId="77777777" w:rsidTr="008A67A3">
              <w:trPr>
                <w:trHeight w:val="567"/>
              </w:trPr>
              <w:tc>
                <w:tcPr>
                  <w:tcW w:w="2893" w:type="dxa"/>
                  <w:shd w:val="clear" w:color="auto" w:fill="auto"/>
                  <w:vAlign w:val="center"/>
                </w:tcPr>
                <w:p w14:paraId="265157C8" w14:textId="77777777" w:rsidR="00F5778E" w:rsidRPr="00E14DE0" w:rsidRDefault="00F5778E" w:rsidP="008A67A3">
                  <w:pPr>
                    <w:rPr>
                      <w:rFonts w:ascii="Arial" w:hAnsi="Arial" w:cs="Arial"/>
                      <w:color w:val="000000"/>
                    </w:rPr>
                  </w:pPr>
                  <w:r w:rsidRPr="00E14DE0">
                    <w:rPr>
                      <w:rFonts w:ascii="Arial" w:hAnsi="Arial" w:cs="Arial"/>
                      <w:color w:val="000000"/>
                    </w:rPr>
                    <w:t>Policy Owner</w:t>
                  </w:r>
                </w:p>
              </w:tc>
              <w:tc>
                <w:tcPr>
                  <w:tcW w:w="5897" w:type="dxa"/>
                  <w:shd w:val="clear" w:color="auto" w:fill="auto"/>
                  <w:vAlign w:val="center"/>
                </w:tcPr>
                <w:p w14:paraId="19A16CAA" w14:textId="77777777" w:rsidR="00F5778E" w:rsidRPr="00E14DE0" w:rsidRDefault="00F5778E" w:rsidP="008A67A3">
                  <w:pPr>
                    <w:rPr>
                      <w:rFonts w:ascii="Arial" w:hAnsi="Arial" w:cs="Arial"/>
                      <w:color w:val="000000"/>
                    </w:rPr>
                  </w:pPr>
                  <w:r w:rsidRPr="00E14DE0">
                    <w:rPr>
                      <w:rFonts w:ascii="Arial" w:hAnsi="Arial" w:cs="Arial"/>
                      <w:color w:val="000000"/>
                    </w:rPr>
                    <w:t>Moira Cross</w:t>
                  </w:r>
                </w:p>
              </w:tc>
            </w:tr>
            <w:tr w:rsidR="00F5778E" w:rsidRPr="00974157" w14:paraId="7E3A6A5C" w14:textId="77777777" w:rsidTr="008A67A3">
              <w:trPr>
                <w:trHeight w:val="567"/>
              </w:trPr>
              <w:tc>
                <w:tcPr>
                  <w:tcW w:w="2893" w:type="dxa"/>
                  <w:shd w:val="clear" w:color="auto" w:fill="auto"/>
                  <w:vAlign w:val="center"/>
                </w:tcPr>
                <w:p w14:paraId="055C4A8B" w14:textId="77777777" w:rsidR="00F5778E" w:rsidRPr="00E14DE0" w:rsidRDefault="00F5778E" w:rsidP="008A67A3">
                  <w:pPr>
                    <w:rPr>
                      <w:rFonts w:ascii="Arial" w:hAnsi="Arial" w:cs="Arial"/>
                      <w:color w:val="000000"/>
                    </w:rPr>
                  </w:pPr>
                  <w:r w:rsidRPr="00E14DE0">
                    <w:rPr>
                      <w:rFonts w:ascii="Arial" w:hAnsi="Arial" w:cs="Arial"/>
                      <w:color w:val="000000"/>
                    </w:rPr>
                    <w:t>Version</w:t>
                  </w:r>
                </w:p>
              </w:tc>
              <w:tc>
                <w:tcPr>
                  <w:tcW w:w="5897" w:type="dxa"/>
                  <w:shd w:val="clear" w:color="auto" w:fill="auto"/>
                  <w:vAlign w:val="center"/>
                </w:tcPr>
                <w:p w14:paraId="40A46819" w14:textId="77777777" w:rsidR="00F5778E" w:rsidRPr="00E14DE0" w:rsidRDefault="00F5778E" w:rsidP="008A67A3">
                  <w:pPr>
                    <w:rPr>
                      <w:rFonts w:ascii="Arial" w:hAnsi="Arial" w:cs="Arial"/>
                      <w:color w:val="000000"/>
                    </w:rPr>
                  </w:pPr>
                  <w:r w:rsidRPr="00E14DE0">
                    <w:rPr>
                      <w:rFonts w:ascii="Arial" w:hAnsi="Arial" w:cs="Arial"/>
                      <w:color w:val="000000"/>
                    </w:rPr>
                    <w:t>1</w:t>
                  </w:r>
                </w:p>
              </w:tc>
            </w:tr>
            <w:tr w:rsidR="00F5778E" w:rsidRPr="00974157" w14:paraId="7B1CF9C1" w14:textId="77777777" w:rsidTr="008A67A3">
              <w:trPr>
                <w:trHeight w:val="567"/>
              </w:trPr>
              <w:tc>
                <w:tcPr>
                  <w:tcW w:w="2893" w:type="dxa"/>
                  <w:shd w:val="clear" w:color="auto" w:fill="auto"/>
                  <w:vAlign w:val="center"/>
                </w:tcPr>
                <w:p w14:paraId="220F3F1D" w14:textId="77777777" w:rsidR="00F5778E" w:rsidRPr="00E14DE0" w:rsidRDefault="00F5778E" w:rsidP="008A67A3">
                  <w:pPr>
                    <w:rPr>
                      <w:rFonts w:ascii="Arial" w:hAnsi="Arial" w:cs="Arial"/>
                      <w:color w:val="000000"/>
                    </w:rPr>
                  </w:pPr>
                  <w:r w:rsidRPr="00E14DE0">
                    <w:rPr>
                      <w:rFonts w:ascii="Arial" w:hAnsi="Arial" w:cs="Arial"/>
                      <w:color w:val="000000"/>
                    </w:rPr>
                    <w:t>Approved Date</w:t>
                  </w:r>
                </w:p>
              </w:tc>
              <w:tc>
                <w:tcPr>
                  <w:tcW w:w="5897" w:type="dxa"/>
                  <w:shd w:val="clear" w:color="auto" w:fill="auto"/>
                  <w:vAlign w:val="center"/>
                </w:tcPr>
                <w:p w14:paraId="3DF50065" w14:textId="5F807F77" w:rsidR="00F5778E" w:rsidRPr="00E14DE0" w:rsidRDefault="00F5778E" w:rsidP="008A67A3">
                  <w:pPr>
                    <w:rPr>
                      <w:rFonts w:ascii="Arial" w:hAnsi="Arial" w:cs="Arial"/>
                      <w:color w:val="000000"/>
                    </w:rPr>
                  </w:pPr>
                  <w:r>
                    <w:rPr>
                      <w:rFonts w:ascii="Arial" w:hAnsi="Arial" w:cs="Arial"/>
                      <w:color w:val="000000"/>
                    </w:rPr>
                    <w:t>7.7.26</w:t>
                  </w:r>
                </w:p>
              </w:tc>
            </w:tr>
            <w:tr w:rsidR="00F5778E" w:rsidRPr="00974157" w14:paraId="6D1BB29F" w14:textId="77777777" w:rsidTr="008A67A3">
              <w:trPr>
                <w:trHeight w:val="567"/>
              </w:trPr>
              <w:tc>
                <w:tcPr>
                  <w:tcW w:w="2893" w:type="dxa"/>
                  <w:shd w:val="clear" w:color="auto" w:fill="auto"/>
                  <w:vAlign w:val="center"/>
                </w:tcPr>
                <w:p w14:paraId="21A663DE" w14:textId="77777777" w:rsidR="00F5778E" w:rsidRPr="00E14DE0" w:rsidRDefault="00F5778E" w:rsidP="008A67A3">
                  <w:pPr>
                    <w:rPr>
                      <w:rFonts w:ascii="Arial" w:hAnsi="Arial" w:cs="Arial"/>
                      <w:color w:val="000000"/>
                    </w:rPr>
                  </w:pPr>
                  <w:r w:rsidRPr="00E14DE0">
                    <w:rPr>
                      <w:rFonts w:ascii="Arial" w:hAnsi="Arial" w:cs="Arial"/>
                      <w:color w:val="000000"/>
                    </w:rPr>
                    <w:t>Approving Body</w:t>
                  </w:r>
                </w:p>
              </w:tc>
              <w:tc>
                <w:tcPr>
                  <w:tcW w:w="5897" w:type="dxa"/>
                  <w:shd w:val="clear" w:color="auto" w:fill="auto"/>
                  <w:vAlign w:val="center"/>
                </w:tcPr>
                <w:p w14:paraId="0751EDC7" w14:textId="77777777" w:rsidR="00F5778E" w:rsidRPr="00E14DE0" w:rsidRDefault="00F5778E" w:rsidP="008A67A3">
                  <w:pPr>
                    <w:rPr>
                      <w:rFonts w:ascii="Arial" w:hAnsi="Arial" w:cs="Arial"/>
                      <w:color w:val="000000"/>
                    </w:rPr>
                  </w:pPr>
                  <w:r w:rsidRPr="00E14DE0">
                    <w:rPr>
                      <w:rFonts w:ascii="Arial" w:hAnsi="Arial" w:cs="Arial"/>
                      <w:color w:val="000000"/>
                    </w:rPr>
                    <w:t>School Standards Committee</w:t>
                  </w:r>
                </w:p>
              </w:tc>
            </w:tr>
            <w:tr w:rsidR="00F5778E" w:rsidRPr="00974157" w14:paraId="0E22230E" w14:textId="77777777" w:rsidTr="008A67A3">
              <w:trPr>
                <w:trHeight w:val="567"/>
              </w:trPr>
              <w:tc>
                <w:tcPr>
                  <w:tcW w:w="2893" w:type="dxa"/>
                  <w:shd w:val="clear" w:color="auto" w:fill="auto"/>
                  <w:vAlign w:val="center"/>
                </w:tcPr>
                <w:p w14:paraId="5AA07AF7" w14:textId="77777777" w:rsidR="00F5778E" w:rsidRPr="00E14DE0" w:rsidRDefault="00F5778E" w:rsidP="008A67A3">
                  <w:pPr>
                    <w:rPr>
                      <w:rFonts w:ascii="Arial" w:hAnsi="Arial" w:cs="Arial"/>
                      <w:color w:val="000000"/>
                    </w:rPr>
                  </w:pPr>
                  <w:r w:rsidRPr="00E14DE0">
                    <w:rPr>
                      <w:rFonts w:ascii="Arial" w:hAnsi="Arial" w:cs="Arial"/>
                      <w:color w:val="000000"/>
                    </w:rPr>
                    <w:t>Next Review Date</w:t>
                  </w:r>
                </w:p>
              </w:tc>
              <w:tc>
                <w:tcPr>
                  <w:tcW w:w="5897" w:type="dxa"/>
                  <w:shd w:val="clear" w:color="auto" w:fill="auto"/>
                  <w:vAlign w:val="center"/>
                </w:tcPr>
                <w:p w14:paraId="599A43A6" w14:textId="3974CBCB" w:rsidR="00F5778E" w:rsidRPr="00E14DE0" w:rsidRDefault="00F5778E" w:rsidP="008A67A3">
                  <w:pPr>
                    <w:rPr>
                      <w:rFonts w:ascii="Arial" w:hAnsi="Arial" w:cs="Arial"/>
                      <w:color w:val="000000"/>
                    </w:rPr>
                  </w:pPr>
                  <w:r>
                    <w:rPr>
                      <w:rFonts w:ascii="Arial" w:hAnsi="Arial" w:cs="Arial"/>
                      <w:color w:val="000000"/>
                    </w:rPr>
                    <w:t>July 2027</w:t>
                  </w:r>
                </w:p>
              </w:tc>
            </w:tr>
          </w:tbl>
          <w:p w14:paraId="4EA78B34" w14:textId="77777777" w:rsidR="00F5778E" w:rsidRPr="00E14DE0" w:rsidRDefault="00F5778E" w:rsidP="008A67A3">
            <w:pPr>
              <w:rPr>
                <w:rFonts w:ascii="Arial" w:hAnsi="Arial" w:cs="Arial"/>
                <w:b/>
                <w:bCs/>
              </w:rPr>
            </w:pPr>
          </w:p>
          <w:p w14:paraId="0C942FCC" w14:textId="77777777" w:rsidR="00F5778E" w:rsidRDefault="00F5778E" w:rsidP="008A67A3"/>
          <w:tbl>
            <w:tblPr>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01"/>
              <w:gridCol w:w="2122"/>
              <w:gridCol w:w="3512"/>
              <w:gridCol w:w="3510"/>
            </w:tblGrid>
            <w:tr w:rsidR="00F5778E" w:rsidRPr="00974157" w14:paraId="3F864E60" w14:textId="77777777" w:rsidTr="008A67A3">
              <w:trPr>
                <w:trHeight w:val="360"/>
              </w:trPr>
              <w:tc>
                <w:tcPr>
                  <w:tcW w:w="623" w:type="pct"/>
                  <w:tcBorders>
                    <w:top w:val="single" w:sz="4" w:space="0" w:color="5B9BD5"/>
                    <w:left w:val="single" w:sz="4" w:space="0" w:color="5B9BD5"/>
                    <w:bottom w:val="single" w:sz="4" w:space="0" w:color="5B9BD5"/>
                    <w:right w:val="nil"/>
                  </w:tcBorders>
                  <w:shd w:val="clear" w:color="auto" w:fill="FFFFFF"/>
                </w:tcPr>
                <w:p w14:paraId="2BFA59C9" w14:textId="77777777" w:rsidR="00F5778E" w:rsidRPr="00E14DE0" w:rsidRDefault="00F5778E" w:rsidP="008A67A3">
                  <w:pPr>
                    <w:rPr>
                      <w:rFonts w:ascii="Arial" w:hAnsi="Arial" w:cs="Arial"/>
                      <w:b/>
                      <w:bCs/>
                      <w:color w:val="FFFFFF"/>
                      <w:sz w:val="20"/>
                      <w:szCs w:val="20"/>
                    </w:rPr>
                  </w:pPr>
                </w:p>
                <w:p w14:paraId="3E534218" w14:textId="77777777" w:rsidR="00F5778E" w:rsidRPr="00E14DE0" w:rsidRDefault="00F5778E" w:rsidP="008A67A3">
                  <w:pPr>
                    <w:rPr>
                      <w:rFonts w:ascii="Arial" w:hAnsi="Arial" w:cs="Arial"/>
                      <w:b/>
                      <w:bCs/>
                      <w:sz w:val="20"/>
                      <w:szCs w:val="20"/>
                    </w:rPr>
                  </w:pPr>
                </w:p>
              </w:tc>
              <w:tc>
                <w:tcPr>
                  <w:tcW w:w="1016" w:type="pct"/>
                  <w:tcBorders>
                    <w:top w:val="single" w:sz="4" w:space="0" w:color="5B9BD5"/>
                    <w:left w:val="nil"/>
                    <w:bottom w:val="single" w:sz="4" w:space="0" w:color="5B9BD5"/>
                    <w:right w:val="nil"/>
                  </w:tcBorders>
                  <w:shd w:val="clear" w:color="auto" w:fill="FFFFFF"/>
                </w:tcPr>
                <w:p w14:paraId="1B1B76E7" w14:textId="77777777" w:rsidR="00F5778E" w:rsidRPr="00E14DE0" w:rsidRDefault="00F5778E" w:rsidP="008A67A3">
                  <w:pPr>
                    <w:rPr>
                      <w:rFonts w:ascii="Arial" w:hAnsi="Arial" w:cs="Arial"/>
                      <w:b/>
                      <w:bCs/>
                      <w:sz w:val="20"/>
                      <w:szCs w:val="20"/>
                    </w:rPr>
                  </w:pPr>
                  <w:r w:rsidRPr="00E14DE0">
                    <w:rPr>
                      <w:rFonts w:ascii="Arial" w:hAnsi="Arial" w:cs="Arial"/>
                      <w:b/>
                      <w:bCs/>
                      <w:sz w:val="20"/>
                      <w:szCs w:val="20"/>
                    </w:rPr>
                    <w:t xml:space="preserve">Last Modified </w:t>
                  </w:r>
                </w:p>
              </w:tc>
              <w:tc>
                <w:tcPr>
                  <w:tcW w:w="1681" w:type="pct"/>
                  <w:tcBorders>
                    <w:top w:val="single" w:sz="4" w:space="0" w:color="5B9BD5"/>
                    <w:left w:val="nil"/>
                    <w:bottom w:val="single" w:sz="4" w:space="0" w:color="5B9BD5"/>
                    <w:right w:val="nil"/>
                  </w:tcBorders>
                  <w:shd w:val="clear" w:color="auto" w:fill="FFFFFF"/>
                </w:tcPr>
                <w:p w14:paraId="07AD29C7" w14:textId="77777777" w:rsidR="00F5778E" w:rsidRPr="00E14DE0" w:rsidRDefault="00F5778E" w:rsidP="008A67A3">
                  <w:pPr>
                    <w:rPr>
                      <w:rFonts w:ascii="Arial" w:hAnsi="Arial" w:cs="Arial"/>
                      <w:b/>
                      <w:bCs/>
                      <w:sz w:val="20"/>
                      <w:szCs w:val="20"/>
                    </w:rPr>
                  </w:pPr>
                  <w:r w:rsidRPr="00E14DE0">
                    <w:rPr>
                      <w:rFonts w:ascii="Arial" w:hAnsi="Arial" w:cs="Arial"/>
                      <w:b/>
                      <w:bCs/>
                      <w:sz w:val="20"/>
                      <w:szCs w:val="20"/>
                    </w:rPr>
                    <w:t>Last Modified By</w:t>
                  </w:r>
                </w:p>
              </w:tc>
              <w:tc>
                <w:tcPr>
                  <w:tcW w:w="1680" w:type="pct"/>
                  <w:tcBorders>
                    <w:top w:val="single" w:sz="4" w:space="0" w:color="5B9BD5"/>
                    <w:left w:val="nil"/>
                    <w:bottom w:val="single" w:sz="4" w:space="0" w:color="5B9BD5"/>
                    <w:right w:val="single" w:sz="4" w:space="0" w:color="5B9BD5"/>
                  </w:tcBorders>
                  <w:shd w:val="clear" w:color="auto" w:fill="FFFFFF"/>
                </w:tcPr>
                <w:p w14:paraId="19287111" w14:textId="77777777" w:rsidR="00F5778E" w:rsidRPr="00E14DE0" w:rsidRDefault="00F5778E" w:rsidP="008A67A3">
                  <w:pPr>
                    <w:rPr>
                      <w:rFonts w:ascii="Arial" w:hAnsi="Arial" w:cs="Arial"/>
                      <w:b/>
                      <w:bCs/>
                      <w:sz w:val="20"/>
                      <w:szCs w:val="20"/>
                    </w:rPr>
                  </w:pPr>
                  <w:r w:rsidRPr="00E14DE0">
                    <w:rPr>
                      <w:rFonts w:ascii="Arial" w:hAnsi="Arial" w:cs="Arial"/>
                      <w:b/>
                      <w:bCs/>
                      <w:sz w:val="20"/>
                      <w:szCs w:val="20"/>
                    </w:rPr>
                    <w:t>Document Changes</w:t>
                  </w:r>
                </w:p>
              </w:tc>
            </w:tr>
            <w:tr w:rsidR="00F5778E" w:rsidRPr="00974157" w14:paraId="4EAD9275" w14:textId="77777777" w:rsidTr="008A67A3">
              <w:trPr>
                <w:trHeight w:val="369"/>
              </w:trPr>
              <w:tc>
                <w:tcPr>
                  <w:tcW w:w="623" w:type="pct"/>
                  <w:shd w:val="clear" w:color="auto" w:fill="FFFFFF"/>
                </w:tcPr>
                <w:p w14:paraId="1E79915E" w14:textId="77777777" w:rsidR="00F5778E" w:rsidRPr="00E14DE0" w:rsidRDefault="00F5778E" w:rsidP="008A67A3">
                  <w:pPr>
                    <w:rPr>
                      <w:rFonts w:ascii="Arial" w:hAnsi="Arial" w:cs="Arial"/>
                      <w:b/>
                      <w:bCs/>
                    </w:rPr>
                  </w:pPr>
                </w:p>
              </w:tc>
              <w:tc>
                <w:tcPr>
                  <w:tcW w:w="1016" w:type="pct"/>
                  <w:shd w:val="clear" w:color="auto" w:fill="FFFFFF"/>
                </w:tcPr>
                <w:p w14:paraId="38CA8A7B" w14:textId="77777777" w:rsidR="00F5778E" w:rsidRPr="00E14DE0" w:rsidRDefault="00F5778E" w:rsidP="008A67A3">
                  <w:pPr>
                    <w:rPr>
                      <w:rFonts w:ascii="Arial" w:hAnsi="Arial" w:cs="Arial"/>
                    </w:rPr>
                  </w:pPr>
                </w:p>
              </w:tc>
              <w:tc>
                <w:tcPr>
                  <w:tcW w:w="1681" w:type="pct"/>
                  <w:shd w:val="clear" w:color="auto" w:fill="FFFFFF"/>
                </w:tcPr>
                <w:p w14:paraId="4D2F6786" w14:textId="77777777" w:rsidR="00F5778E" w:rsidRPr="00E14DE0" w:rsidRDefault="00F5778E" w:rsidP="008A67A3">
                  <w:pPr>
                    <w:rPr>
                      <w:rFonts w:ascii="Arial" w:hAnsi="Arial" w:cs="Arial"/>
                    </w:rPr>
                  </w:pPr>
                </w:p>
              </w:tc>
              <w:tc>
                <w:tcPr>
                  <w:tcW w:w="1680" w:type="pct"/>
                  <w:shd w:val="clear" w:color="auto" w:fill="FFFFFF"/>
                </w:tcPr>
                <w:p w14:paraId="2EA36D87" w14:textId="77777777" w:rsidR="00F5778E" w:rsidRPr="00E14DE0" w:rsidRDefault="00F5778E" w:rsidP="008A67A3">
                  <w:pPr>
                    <w:rPr>
                      <w:rFonts w:ascii="Arial" w:hAnsi="Arial" w:cs="Arial"/>
                    </w:rPr>
                  </w:pPr>
                </w:p>
              </w:tc>
            </w:tr>
            <w:tr w:rsidR="00F5778E" w:rsidRPr="00974157" w14:paraId="3D86A95D" w14:textId="77777777" w:rsidTr="008A67A3">
              <w:trPr>
                <w:trHeight w:val="378"/>
              </w:trPr>
              <w:tc>
                <w:tcPr>
                  <w:tcW w:w="623" w:type="pct"/>
                  <w:shd w:val="clear" w:color="auto" w:fill="FFFFFF"/>
                </w:tcPr>
                <w:p w14:paraId="73D8781B" w14:textId="77777777" w:rsidR="00F5778E" w:rsidRPr="00E14DE0" w:rsidRDefault="00F5778E" w:rsidP="008A67A3">
                  <w:pPr>
                    <w:rPr>
                      <w:rFonts w:ascii="Arial" w:hAnsi="Arial" w:cs="Arial"/>
                      <w:b/>
                      <w:bCs/>
                    </w:rPr>
                  </w:pPr>
                </w:p>
              </w:tc>
              <w:tc>
                <w:tcPr>
                  <w:tcW w:w="1016" w:type="pct"/>
                  <w:shd w:val="clear" w:color="auto" w:fill="FFFFFF"/>
                </w:tcPr>
                <w:p w14:paraId="52848956" w14:textId="77777777" w:rsidR="00F5778E" w:rsidRPr="00E14DE0" w:rsidRDefault="00F5778E" w:rsidP="008A67A3">
                  <w:pPr>
                    <w:rPr>
                      <w:rFonts w:ascii="Arial" w:hAnsi="Arial" w:cs="Arial"/>
                    </w:rPr>
                  </w:pPr>
                </w:p>
              </w:tc>
              <w:tc>
                <w:tcPr>
                  <w:tcW w:w="1681" w:type="pct"/>
                  <w:shd w:val="clear" w:color="auto" w:fill="FFFFFF"/>
                </w:tcPr>
                <w:p w14:paraId="419586E0" w14:textId="77777777" w:rsidR="00F5778E" w:rsidRPr="00E14DE0" w:rsidRDefault="00F5778E" w:rsidP="008A67A3">
                  <w:pPr>
                    <w:rPr>
                      <w:rFonts w:ascii="Arial" w:hAnsi="Arial" w:cs="Arial"/>
                    </w:rPr>
                  </w:pPr>
                </w:p>
              </w:tc>
              <w:tc>
                <w:tcPr>
                  <w:tcW w:w="1680" w:type="pct"/>
                  <w:shd w:val="clear" w:color="auto" w:fill="FFFFFF"/>
                </w:tcPr>
                <w:p w14:paraId="20642907" w14:textId="77777777" w:rsidR="00F5778E" w:rsidRPr="00E14DE0" w:rsidRDefault="00F5778E" w:rsidP="008A67A3">
                  <w:pPr>
                    <w:rPr>
                      <w:rFonts w:ascii="Arial" w:hAnsi="Arial" w:cs="Arial"/>
                    </w:rPr>
                  </w:pPr>
                </w:p>
              </w:tc>
            </w:tr>
            <w:tr w:rsidR="00F5778E" w:rsidRPr="00974157" w14:paraId="7809F918" w14:textId="77777777" w:rsidTr="008A67A3">
              <w:trPr>
                <w:trHeight w:val="378"/>
              </w:trPr>
              <w:tc>
                <w:tcPr>
                  <w:tcW w:w="623" w:type="pct"/>
                  <w:shd w:val="clear" w:color="auto" w:fill="FFFFFF"/>
                </w:tcPr>
                <w:p w14:paraId="721C3AFC" w14:textId="77777777" w:rsidR="00F5778E" w:rsidRPr="00E14DE0" w:rsidRDefault="00F5778E" w:rsidP="008A67A3">
                  <w:pPr>
                    <w:rPr>
                      <w:rFonts w:ascii="Arial" w:hAnsi="Arial" w:cs="Arial"/>
                      <w:b/>
                      <w:bCs/>
                    </w:rPr>
                  </w:pPr>
                </w:p>
              </w:tc>
              <w:tc>
                <w:tcPr>
                  <w:tcW w:w="1016" w:type="pct"/>
                  <w:shd w:val="clear" w:color="auto" w:fill="FFFFFF"/>
                </w:tcPr>
                <w:p w14:paraId="400FCC75" w14:textId="77777777" w:rsidR="00F5778E" w:rsidRPr="00E14DE0" w:rsidRDefault="00F5778E" w:rsidP="008A67A3">
                  <w:pPr>
                    <w:rPr>
                      <w:rFonts w:ascii="Arial" w:hAnsi="Arial" w:cs="Arial"/>
                    </w:rPr>
                  </w:pPr>
                </w:p>
              </w:tc>
              <w:tc>
                <w:tcPr>
                  <w:tcW w:w="1681" w:type="pct"/>
                  <w:shd w:val="clear" w:color="auto" w:fill="FFFFFF"/>
                </w:tcPr>
                <w:p w14:paraId="39238889" w14:textId="77777777" w:rsidR="00F5778E" w:rsidRPr="00E14DE0" w:rsidRDefault="00F5778E" w:rsidP="008A67A3">
                  <w:pPr>
                    <w:rPr>
                      <w:rFonts w:ascii="Arial" w:hAnsi="Arial" w:cs="Arial"/>
                    </w:rPr>
                  </w:pPr>
                </w:p>
              </w:tc>
              <w:tc>
                <w:tcPr>
                  <w:tcW w:w="1680" w:type="pct"/>
                  <w:shd w:val="clear" w:color="auto" w:fill="FFFFFF"/>
                </w:tcPr>
                <w:p w14:paraId="2339B60E" w14:textId="77777777" w:rsidR="00F5778E" w:rsidRPr="00E14DE0" w:rsidRDefault="00F5778E" w:rsidP="008A67A3">
                  <w:pPr>
                    <w:rPr>
                      <w:rFonts w:ascii="Arial" w:hAnsi="Arial" w:cs="Arial"/>
                    </w:rPr>
                  </w:pPr>
                </w:p>
              </w:tc>
            </w:tr>
          </w:tbl>
          <w:p w14:paraId="31A60EE5" w14:textId="77777777" w:rsidR="00F5778E" w:rsidRPr="00E14DE0" w:rsidRDefault="00F5778E" w:rsidP="008A67A3">
            <w:pPr>
              <w:rPr>
                <w:rFonts w:ascii="Arial" w:hAnsi="Arial" w:cs="Arial"/>
                <w:b/>
                <w:bCs/>
              </w:rPr>
            </w:pPr>
          </w:p>
        </w:tc>
      </w:tr>
    </w:tbl>
    <w:p w14:paraId="319A80F1" w14:textId="77777777" w:rsidR="00F5778E" w:rsidRDefault="00F5778E" w:rsidP="00292D86">
      <w:pPr>
        <w:pStyle w:val="Default"/>
        <w:rPr>
          <w:rFonts w:ascii="Trebuchet MS" w:hAnsi="Trebuchet MS"/>
          <w:b/>
          <w:sz w:val="36"/>
          <w:szCs w:val="36"/>
          <w:u w:val="single"/>
        </w:rPr>
      </w:pPr>
    </w:p>
    <w:p w14:paraId="4FED42FE" w14:textId="50BB0423" w:rsidR="00292D86" w:rsidRPr="008F55F7" w:rsidRDefault="00292D86" w:rsidP="00292D86">
      <w:pPr>
        <w:pStyle w:val="Default"/>
        <w:rPr>
          <w:rFonts w:ascii="Trebuchet MS" w:hAnsi="Trebuchet MS"/>
          <w:b/>
          <w:bCs/>
          <w:sz w:val="36"/>
          <w:szCs w:val="36"/>
          <w:u w:val="single"/>
        </w:rPr>
      </w:pPr>
      <w:r w:rsidRPr="008F55F7">
        <w:rPr>
          <w:rFonts w:ascii="Trebuchet MS" w:hAnsi="Trebuchet MS"/>
          <w:b/>
          <w:sz w:val="36"/>
          <w:szCs w:val="36"/>
          <w:u w:val="single"/>
        </w:rPr>
        <w:lastRenderedPageBreak/>
        <w:t>Dordon</w:t>
      </w:r>
      <w:r w:rsidRPr="008F55F7">
        <w:rPr>
          <w:rFonts w:ascii="Trebuchet MS" w:hAnsi="Trebuchet MS"/>
          <w:b/>
          <w:bCs/>
          <w:sz w:val="36"/>
          <w:szCs w:val="36"/>
          <w:u w:val="single"/>
        </w:rPr>
        <w:t xml:space="preserve"> Primary School </w:t>
      </w:r>
    </w:p>
    <w:p w14:paraId="5C2FD87F" w14:textId="736BCA6E" w:rsidR="00292D86" w:rsidRPr="008F55F7" w:rsidRDefault="00292D86" w:rsidP="00292D86">
      <w:pPr>
        <w:pStyle w:val="Default"/>
        <w:rPr>
          <w:rFonts w:ascii="Trebuchet MS" w:hAnsi="Trebuchet MS"/>
          <w:sz w:val="36"/>
          <w:szCs w:val="36"/>
        </w:rPr>
      </w:pPr>
      <w:r w:rsidRPr="008F55F7">
        <w:rPr>
          <w:rFonts w:ascii="Trebuchet MS" w:hAnsi="Trebuchet MS"/>
          <w:b/>
          <w:bCs/>
          <w:sz w:val="36"/>
          <w:szCs w:val="36"/>
        </w:rPr>
        <w:t xml:space="preserve">Public Sector Equality Duty  </w:t>
      </w:r>
    </w:p>
    <w:p w14:paraId="32917241" w14:textId="77777777" w:rsidR="00292D86" w:rsidRDefault="00292D86" w:rsidP="00292D86">
      <w:pPr>
        <w:pStyle w:val="Default"/>
        <w:rPr>
          <w:rFonts w:ascii="Trebuchet MS" w:hAnsi="Trebuchet MS"/>
          <w:b/>
          <w:bCs/>
          <w:sz w:val="28"/>
          <w:szCs w:val="28"/>
        </w:rPr>
      </w:pPr>
    </w:p>
    <w:p w14:paraId="10D8F398" w14:textId="77777777" w:rsidR="00292D86" w:rsidRPr="008F55F7" w:rsidRDefault="00292D86" w:rsidP="00292D86">
      <w:pPr>
        <w:pStyle w:val="Default"/>
        <w:rPr>
          <w:rFonts w:ascii="Trebuchet MS" w:hAnsi="Trebuchet MS"/>
          <w:sz w:val="28"/>
          <w:szCs w:val="28"/>
          <w:u w:val="single"/>
        </w:rPr>
      </w:pPr>
      <w:r w:rsidRPr="008F55F7">
        <w:rPr>
          <w:rFonts w:ascii="Trebuchet MS" w:hAnsi="Trebuchet MS"/>
          <w:b/>
          <w:bCs/>
          <w:sz w:val="28"/>
          <w:szCs w:val="28"/>
          <w:u w:val="single"/>
        </w:rPr>
        <w:t xml:space="preserve">Public Sector Equality Duty </w:t>
      </w:r>
    </w:p>
    <w:p w14:paraId="6E05C8BC"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The Equality Act 2010 requires us to publish information that demonstrates that we have due regard for the need to: </w:t>
      </w:r>
    </w:p>
    <w:p w14:paraId="6EF2CF2D" w14:textId="77777777" w:rsidR="00292D86" w:rsidRPr="008F55F7" w:rsidRDefault="00292D86" w:rsidP="00292D86">
      <w:pPr>
        <w:pStyle w:val="Default"/>
        <w:rPr>
          <w:rFonts w:ascii="Trebuchet MS" w:hAnsi="Trebuchet MS"/>
          <w:sz w:val="28"/>
          <w:szCs w:val="28"/>
        </w:rPr>
      </w:pPr>
    </w:p>
    <w:p w14:paraId="7402ED5A" w14:textId="77777777"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Eliminate unlawful discrimination, harassment, victimisation </w:t>
      </w:r>
      <w:r w:rsidRPr="008F55F7">
        <w:rPr>
          <w:rFonts w:ascii="Trebuchet MS" w:hAnsi="Trebuchet MS"/>
          <w:sz w:val="28"/>
          <w:szCs w:val="28"/>
        </w:rPr>
        <w:t xml:space="preserve">and any other conduct prohibited by the Equality Act 2010 </w:t>
      </w:r>
    </w:p>
    <w:p w14:paraId="2F588737" w14:textId="77777777" w:rsidR="00292D86" w:rsidRPr="008F55F7" w:rsidRDefault="00292D86" w:rsidP="00292D86">
      <w:pPr>
        <w:pStyle w:val="Default"/>
        <w:rPr>
          <w:rFonts w:ascii="Trebuchet MS" w:hAnsi="Trebuchet MS"/>
          <w:sz w:val="28"/>
          <w:szCs w:val="28"/>
        </w:rPr>
      </w:pPr>
    </w:p>
    <w:p w14:paraId="724803A6" w14:textId="77777777"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Advance equality of opportunity </w:t>
      </w:r>
      <w:r w:rsidRPr="008F55F7">
        <w:rPr>
          <w:rFonts w:ascii="Trebuchet MS" w:hAnsi="Trebuchet MS"/>
          <w:sz w:val="28"/>
          <w:szCs w:val="28"/>
        </w:rPr>
        <w:t xml:space="preserve">between people who share a protected characteristic and people who do not share it </w:t>
      </w:r>
    </w:p>
    <w:p w14:paraId="4FC0D9C3" w14:textId="77777777" w:rsidR="00292D86" w:rsidRPr="008F55F7" w:rsidRDefault="00292D86" w:rsidP="00292D86">
      <w:pPr>
        <w:pStyle w:val="Default"/>
        <w:rPr>
          <w:rFonts w:ascii="Trebuchet MS" w:hAnsi="Trebuchet MS"/>
          <w:sz w:val="28"/>
          <w:szCs w:val="28"/>
        </w:rPr>
      </w:pPr>
    </w:p>
    <w:p w14:paraId="346EDB64" w14:textId="77777777"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Foster good relations </w:t>
      </w:r>
      <w:r w:rsidRPr="008F55F7">
        <w:rPr>
          <w:rFonts w:ascii="Trebuchet MS" w:hAnsi="Trebuchet MS"/>
          <w:sz w:val="28"/>
          <w:szCs w:val="28"/>
        </w:rPr>
        <w:t xml:space="preserve">between people who share a protected characteristic and people who do not share it. </w:t>
      </w:r>
    </w:p>
    <w:p w14:paraId="1BE36518" w14:textId="77777777" w:rsidR="00292D86" w:rsidRDefault="00292D86" w:rsidP="00292D86">
      <w:pPr>
        <w:pStyle w:val="Default"/>
        <w:rPr>
          <w:rFonts w:ascii="Trebuchet MS" w:hAnsi="Trebuchet MS"/>
        </w:rPr>
      </w:pPr>
    </w:p>
    <w:p w14:paraId="7DAA146B" w14:textId="77777777" w:rsidR="00292D86" w:rsidRPr="008F55F7" w:rsidRDefault="00292D86" w:rsidP="00292D86">
      <w:pPr>
        <w:pStyle w:val="Default"/>
        <w:rPr>
          <w:rFonts w:ascii="Trebuchet MS" w:hAnsi="Trebuchet MS"/>
        </w:rPr>
      </w:pPr>
    </w:p>
    <w:p w14:paraId="00DE50C0" w14:textId="77777777" w:rsidR="00292D86" w:rsidRPr="008F55F7" w:rsidRDefault="00292D86" w:rsidP="00292D86">
      <w:pPr>
        <w:pStyle w:val="Default"/>
        <w:rPr>
          <w:rFonts w:ascii="Trebuchet MS" w:hAnsi="Trebuchet MS"/>
          <w:sz w:val="28"/>
          <w:szCs w:val="28"/>
        </w:rPr>
      </w:pPr>
    </w:p>
    <w:p w14:paraId="6BCC7D3C"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Dordon Primary School is an inclusive school where we focus on the well-being and progress of every child and where all members of our community are of equal worth. </w:t>
      </w:r>
    </w:p>
    <w:p w14:paraId="1EED5C70" w14:textId="77777777" w:rsidR="00292D86" w:rsidRPr="008F55F7" w:rsidRDefault="00292D86" w:rsidP="00292D86">
      <w:pPr>
        <w:pStyle w:val="Default"/>
        <w:rPr>
          <w:rFonts w:ascii="Trebuchet MS" w:hAnsi="Trebuchet MS"/>
          <w:sz w:val="28"/>
          <w:szCs w:val="28"/>
        </w:rPr>
      </w:pPr>
    </w:p>
    <w:p w14:paraId="12FFFA73"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 </w:t>
      </w:r>
    </w:p>
    <w:p w14:paraId="0137C561" w14:textId="77777777" w:rsidR="00292D86" w:rsidRPr="008F55F7" w:rsidRDefault="00292D86" w:rsidP="00292D86">
      <w:pPr>
        <w:pStyle w:val="Default"/>
        <w:rPr>
          <w:rFonts w:ascii="Trebuchet MS" w:hAnsi="Trebuchet MS"/>
          <w:sz w:val="28"/>
          <w:szCs w:val="28"/>
        </w:rPr>
      </w:pPr>
    </w:p>
    <w:p w14:paraId="539BC52C"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Our approach to equality is based on the following key principles: </w:t>
      </w:r>
    </w:p>
    <w:p w14:paraId="19E805E6"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1. All learners are of equal value. </w:t>
      </w:r>
    </w:p>
    <w:p w14:paraId="7537107C"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2. We recognise and respect difference. </w:t>
      </w:r>
    </w:p>
    <w:p w14:paraId="5C804D45"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3. We foster positive attitudes and relationships and a shared sense of cohesion and belonging. </w:t>
      </w:r>
    </w:p>
    <w:p w14:paraId="41214362"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4. We observe good equalities practice in staff recruitment, retention and development. </w:t>
      </w:r>
    </w:p>
    <w:p w14:paraId="3422CEFC"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5. We aim to reduce and remove inequalities and barriers that already exist. </w:t>
      </w:r>
    </w:p>
    <w:p w14:paraId="366B5EDB" w14:textId="77777777" w:rsidR="00292D86" w:rsidRPr="008F55F7" w:rsidRDefault="00292D86" w:rsidP="00292D86">
      <w:pPr>
        <w:rPr>
          <w:rFonts w:ascii="Trebuchet MS" w:hAnsi="Trebuchet MS"/>
          <w:sz w:val="28"/>
          <w:szCs w:val="28"/>
        </w:rPr>
      </w:pPr>
      <w:r w:rsidRPr="008F55F7">
        <w:rPr>
          <w:rFonts w:ascii="Trebuchet MS" w:hAnsi="Trebuchet MS"/>
          <w:sz w:val="28"/>
          <w:szCs w:val="28"/>
        </w:rPr>
        <w:t>6. We have the highest expectations of all our children.</w:t>
      </w:r>
    </w:p>
    <w:p w14:paraId="5022D212" w14:textId="77777777" w:rsidR="00292D86" w:rsidRDefault="00292D86" w:rsidP="00292D86">
      <w:pPr>
        <w:rPr>
          <w:rFonts w:ascii="Trebuchet MS" w:hAnsi="Trebuchet MS"/>
          <w:sz w:val="24"/>
          <w:szCs w:val="24"/>
        </w:rPr>
      </w:pPr>
    </w:p>
    <w:p w14:paraId="62E1E690" w14:textId="77777777" w:rsidR="00292D86" w:rsidRDefault="00292D86" w:rsidP="00292D86">
      <w:pPr>
        <w:rPr>
          <w:rFonts w:ascii="Trebuchet MS" w:hAnsi="Trebuchet MS"/>
          <w:sz w:val="24"/>
          <w:szCs w:val="24"/>
        </w:rPr>
      </w:pPr>
    </w:p>
    <w:p w14:paraId="0F56FCFB" w14:textId="77777777" w:rsidR="00292D86" w:rsidRPr="008F55F7" w:rsidRDefault="00292D86" w:rsidP="00292D86">
      <w:pPr>
        <w:pStyle w:val="Default"/>
        <w:rPr>
          <w:rFonts w:ascii="Trebuchet MS" w:hAnsi="Trebuchet MS"/>
          <w:b/>
          <w:sz w:val="28"/>
          <w:szCs w:val="28"/>
          <w:u w:val="single"/>
        </w:rPr>
      </w:pPr>
      <w:r w:rsidRPr="008F55F7">
        <w:rPr>
          <w:rFonts w:ascii="Trebuchet MS" w:hAnsi="Trebuchet MS"/>
          <w:b/>
          <w:bCs/>
          <w:sz w:val="28"/>
          <w:szCs w:val="28"/>
          <w:u w:val="single"/>
        </w:rPr>
        <w:lastRenderedPageBreak/>
        <w:t xml:space="preserve">Equality Information </w:t>
      </w:r>
    </w:p>
    <w:p w14:paraId="1733D46C" w14:textId="2F82B3D8"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Number of pupils on roll at the school: </w:t>
      </w:r>
      <w:r w:rsidR="00D846E6">
        <w:rPr>
          <w:rFonts w:ascii="Trebuchet MS" w:hAnsi="Trebuchet MS"/>
          <w:sz w:val="28"/>
          <w:szCs w:val="28"/>
        </w:rPr>
        <w:t>2</w:t>
      </w:r>
      <w:r w:rsidR="00F5778E">
        <w:rPr>
          <w:rFonts w:ascii="Trebuchet MS" w:hAnsi="Trebuchet MS"/>
          <w:sz w:val="28"/>
          <w:szCs w:val="28"/>
        </w:rPr>
        <w:t>05</w:t>
      </w:r>
    </w:p>
    <w:p w14:paraId="3A68DF4B" w14:textId="77777777"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Age of pupils: </w:t>
      </w:r>
      <w:r w:rsidR="00D846E6">
        <w:rPr>
          <w:rFonts w:ascii="Trebuchet MS" w:hAnsi="Trebuchet MS"/>
          <w:sz w:val="28"/>
          <w:szCs w:val="28"/>
        </w:rPr>
        <w:t>4</w:t>
      </w:r>
      <w:r w:rsidRPr="008F55F7">
        <w:rPr>
          <w:rFonts w:ascii="Trebuchet MS" w:hAnsi="Trebuchet MS"/>
          <w:sz w:val="28"/>
          <w:szCs w:val="28"/>
        </w:rPr>
        <w:t xml:space="preserve"> to 11 </w:t>
      </w:r>
    </w:p>
    <w:p w14:paraId="644B1297" w14:textId="77777777" w:rsidR="00292D86" w:rsidRPr="008F55F7" w:rsidRDefault="00292D86" w:rsidP="00292D86">
      <w:pPr>
        <w:pStyle w:val="Default"/>
        <w:rPr>
          <w:rFonts w:ascii="Trebuchet MS" w:hAnsi="Trebuchet MS"/>
          <w:sz w:val="28"/>
          <w:szCs w:val="28"/>
        </w:rPr>
      </w:pPr>
    </w:p>
    <w:p w14:paraId="2F151C99" w14:textId="77777777"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Characteristics of </w:t>
      </w:r>
      <w:r>
        <w:rPr>
          <w:rFonts w:ascii="Trebuchet MS" w:hAnsi="Trebuchet MS"/>
          <w:b/>
          <w:bCs/>
          <w:sz w:val="28"/>
          <w:szCs w:val="28"/>
        </w:rPr>
        <w:t>Dordon</w:t>
      </w:r>
      <w:r w:rsidRPr="008F55F7">
        <w:rPr>
          <w:rFonts w:ascii="Trebuchet MS" w:hAnsi="Trebuchet MS"/>
          <w:b/>
          <w:bCs/>
          <w:sz w:val="28"/>
          <w:szCs w:val="28"/>
        </w:rPr>
        <w:t xml:space="preserve"> Primary School </w:t>
      </w:r>
    </w:p>
    <w:p w14:paraId="57F6E914" w14:textId="6884520E" w:rsidR="00292D86" w:rsidRPr="008F55F7" w:rsidRDefault="00292D86" w:rsidP="00292D86">
      <w:pPr>
        <w:pStyle w:val="Default"/>
        <w:rPr>
          <w:rFonts w:ascii="Trebuchet MS" w:hAnsi="Trebuchet MS"/>
          <w:sz w:val="28"/>
          <w:szCs w:val="28"/>
        </w:rPr>
      </w:pPr>
      <w:r>
        <w:rPr>
          <w:rFonts w:ascii="Trebuchet MS" w:hAnsi="Trebuchet MS"/>
          <w:sz w:val="28"/>
          <w:szCs w:val="28"/>
        </w:rPr>
        <w:t>Dordon</w:t>
      </w:r>
      <w:r w:rsidRPr="008F55F7">
        <w:rPr>
          <w:rFonts w:ascii="Trebuchet MS" w:hAnsi="Trebuchet MS"/>
          <w:sz w:val="28"/>
          <w:szCs w:val="28"/>
        </w:rPr>
        <w:t xml:space="preserve"> Primary School is a </w:t>
      </w:r>
      <w:r>
        <w:rPr>
          <w:rFonts w:ascii="Trebuchet MS" w:hAnsi="Trebuchet MS"/>
          <w:sz w:val="28"/>
          <w:szCs w:val="28"/>
        </w:rPr>
        <w:t>s</w:t>
      </w:r>
      <w:r w:rsidR="00F5778E">
        <w:rPr>
          <w:rFonts w:ascii="Trebuchet MS" w:hAnsi="Trebuchet MS"/>
          <w:sz w:val="28"/>
          <w:szCs w:val="28"/>
        </w:rPr>
        <w:t xml:space="preserve">ingle-form entry </w:t>
      </w:r>
      <w:r>
        <w:rPr>
          <w:rFonts w:ascii="Trebuchet MS" w:hAnsi="Trebuchet MS"/>
          <w:sz w:val="28"/>
          <w:szCs w:val="28"/>
        </w:rPr>
        <w:t xml:space="preserve">primary school situated in North Warwickshire on the outskirts of Tamworth. </w:t>
      </w:r>
      <w:r w:rsidRPr="008F55F7">
        <w:rPr>
          <w:rFonts w:ascii="Trebuchet MS" w:hAnsi="Trebuchet MS"/>
          <w:sz w:val="28"/>
          <w:szCs w:val="28"/>
        </w:rPr>
        <w:t xml:space="preserve">The school catchment includes one of the most deprived wards in the borough and faces considerable socio-economic challenges; the catchment </w:t>
      </w:r>
      <w:r>
        <w:rPr>
          <w:rFonts w:ascii="Trebuchet MS" w:hAnsi="Trebuchet MS"/>
          <w:sz w:val="28"/>
          <w:szCs w:val="28"/>
        </w:rPr>
        <w:t>has significant levels of deprivation.</w:t>
      </w:r>
      <w:r w:rsidRPr="008F55F7">
        <w:rPr>
          <w:rFonts w:ascii="Trebuchet MS" w:hAnsi="Trebuchet MS"/>
          <w:sz w:val="28"/>
          <w:szCs w:val="28"/>
        </w:rPr>
        <w:t xml:space="preserve"> Most pupils are of White British heritage</w:t>
      </w:r>
      <w:r w:rsidR="007C0716">
        <w:rPr>
          <w:rFonts w:ascii="Trebuchet MS" w:hAnsi="Trebuchet MS"/>
          <w:sz w:val="28"/>
          <w:szCs w:val="28"/>
        </w:rPr>
        <w:t xml:space="preserve"> but is becoming increasingly diverse</w:t>
      </w:r>
      <w:r w:rsidRPr="008F55F7">
        <w:rPr>
          <w:rFonts w:ascii="Trebuchet MS" w:hAnsi="Trebuchet MS"/>
          <w:sz w:val="28"/>
          <w:szCs w:val="28"/>
        </w:rPr>
        <w:t xml:space="preserve"> with</w:t>
      </w:r>
      <w:r w:rsidR="007C0716">
        <w:rPr>
          <w:rFonts w:ascii="Trebuchet MS" w:hAnsi="Trebuchet MS"/>
          <w:sz w:val="28"/>
          <w:szCs w:val="28"/>
        </w:rPr>
        <w:t xml:space="preserve"> </w:t>
      </w:r>
      <w:r w:rsidR="00F5778E">
        <w:rPr>
          <w:rFonts w:ascii="Trebuchet MS" w:hAnsi="Trebuchet MS"/>
          <w:sz w:val="28"/>
          <w:szCs w:val="28"/>
        </w:rPr>
        <w:t>10.6</w:t>
      </w:r>
      <w:r w:rsidRPr="008F55F7">
        <w:rPr>
          <w:rFonts w:ascii="Trebuchet MS" w:hAnsi="Trebuchet MS"/>
          <w:sz w:val="28"/>
          <w:szCs w:val="28"/>
        </w:rPr>
        <w:t xml:space="preserve">% speaking English as an additional language, which has </w:t>
      </w:r>
      <w:r w:rsidR="007C0716">
        <w:rPr>
          <w:rFonts w:ascii="Trebuchet MS" w:hAnsi="Trebuchet MS"/>
          <w:sz w:val="28"/>
          <w:szCs w:val="28"/>
        </w:rPr>
        <w:t>steadily increased over the past 3 years</w:t>
      </w:r>
      <w:r>
        <w:rPr>
          <w:rFonts w:ascii="Trebuchet MS" w:hAnsi="Trebuchet MS"/>
          <w:sz w:val="28"/>
          <w:szCs w:val="28"/>
        </w:rPr>
        <w:t xml:space="preserve">. The percentage </w:t>
      </w:r>
      <w:r w:rsidRPr="008F55F7">
        <w:rPr>
          <w:rFonts w:ascii="Trebuchet MS" w:hAnsi="Trebuchet MS"/>
          <w:sz w:val="28"/>
          <w:szCs w:val="28"/>
        </w:rPr>
        <w:t xml:space="preserve">of children eligible for free school meals is above the average for the Borough. </w:t>
      </w:r>
    </w:p>
    <w:p w14:paraId="365899C1" w14:textId="70F8D0B3"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In </w:t>
      </w:r>
      <w:r>
        <w:rPr>
          <w:rFonts w:ascii="Trebuchet MS" w:hAnsi="Trebuchet MS"/>
          <w:sz w:val="28"/>
          <w:szCs w:val="28"/>
        </w:rPr>
        <w:t>July 202</w:t>
      </w:r>
      <w:r w:rsidR="00F5778E">
        <w:rPr>
          <w:rFonts w:ascii="Trebuchet MS" w:hAnsi="Trebuchet MS"/>
          <w:sz w:val="28"/>
          <w:szCs w:val="28"/>
        </w:rPr>
        <w:t>6</w:t>
      </w:r>
      <w:r w:rsidRPr="008F55F7">
        <w:rPr>
          <w:rFonts w:ascii="Trebuchet MS" w:hAnsi="Trebuchet MS"/>
          <w:sz w:val="28"/>
          <w:szCs w:val="28"/>
        </w:rPr>
        <w:t xml:space="preserve">, </w:t>
      </w:r>
      <w:r w:rsidR="00F5778E">
        <w:rPr>
          <w:rFonts w:ascii="Trebuchet MS" w:hAnsi="Trebuchet MS"/>
          <w:sz w:val="28"/>
          <w:szCs w:val="28"/>
        </w:rPr>
        <w:t xml:space="preserve">seven </w:t>
      </w:r>
      <w:r w:rsidR="009E5F3B">
        <w:rPr>
          <w:rFonts w:ascii="Trebuchet MS" w:hAnsi="Trebuchet MS"/>
          <w:sz w:val="28"/>
          <w:szCs w:val="28"/>
        </w:rPr>
        <w:t>children</w:t>
      </w:r>
      <w:r>
        <w:rPr>
          <w:rFonts w:ascii="Trebuchet MS" w:hAnsi="Trebuchet MS"/>
          <w:sz w:val="28"/>
          <w:szCs w:val="28"/>
        </w:rPr>
        <w:t xml:space="preserve"> classed as Child In Need</w:t>
      </w:r>
      <w:r w:rsidRPr="008F55F7">
        <w:rPr>
          <w:rFonts w:ascii="Trebuchet MS" w:hAnsi="Trebuchet MS"/>
          <w:sz w:val="28"/>
          <w:szCs w:val="28"/>
        </w:rPr>
        <w:t xml:space="preserve"> and</w:t>
      </w:r>
      <w:r w:rsidR="00122FC7">
        <w:rPr>
          <w:rFonts w:ascii="Trebuchet MS" w:hAnsi="Trebuchet MS"/>
          <w:sz w:val="28"/>
          <w:szCs w:val="28"/>
        </w:rPr>
        <w:t xml:space="preserve"> </w:t>
      </w:r>
      <w:r w:rsidR="007C0716">
        <w:rPr>
          <w:rFonts w:ascii="Trebuchet MS" w:hAnsi="Trebuchet MS"/>
          <w:sz w:val="28"/>
          <w:szCs w:val="28"/>
        </w:rPr>
        <w:t>five</w:t>
      </w:r>
      <w:r>
        <w:rPr>
          <w:rFonts w:ascii="Trebuchet MS" w:hAnsi="Trebuchet MS"/>
          <w:sz w:val="28"/>
          <w:szCs w:val="28"/>
        </w:rPr>
        <w:t xml:space="preserve"> </w:t>
      </w:r>
      <w:r w:rsidRPr="008F55F7">
        <w:rPr>
          <w:rFonts w:ascii="Trebuchet MS" w:hAnsi="Trebuchet MS"/>
          <w:sz w:val="28"/>
          <w:szCs w:val="28"/>
        </w:rPr>
        <w:t>chi</w:t>
      </w:r>
      <w:r>
        <w:rPr>
          <w:rFonts w:ascii="Trebuchet MS" w:hAnsi="Trebuchet MS"/>
          <w:sz w:val="28"/>
          <w:szCs w:val="28"/>
        </w:rPr>
        <w:t>l</w:t>
      </w:r>
      <w:r w:rsidR="00122FC7">
        <w:rPr>
          <w:rFonts w:ascii="Trebuchet MS" w:hAnsi="Trebuchet MS"/>
          <w:sz w:val="28"/>
          <w:szCs w:val="28"/>
        </w:rPr>
        <w:t>d</w:t>
      </w:r>
      <w:r w:rsidR="009E5F3B">
        <w:rPr>
          <w:rFonts w:ascii="Trebuchet MS" w:hAnsi="Trebuchet MS"/>
          <w:sz w:val="28"/>
          <w:szCs w:val="28"/>
        </w:rPr>
        <w:t xml:space="preserve">ren </w:t>
      </w:r>
      <w:r>
        <w:rPr>
          <w:rFonts w:ascii="Trebuchet MS" w:hAnsi="Trebuchet MS"/>
          <w:sz w:val="28"/>
          <w:szCs w:val="28"/>
        </w:rPr>
        <w:t xml:space="preserve">subject to Early Help, </w:t>
      </w:r>
      <w:r w:rsidR="00F5778E">
        <w:rPr>
          <w:rFonts w:ascii="Trebuchet MS" w:hAnsi="Trebuchet MS"/>
          <w:sz w:val="28"/>
          <w:szCs w:val="28"/>
        </w:rPr>
        <w:t xml:space="preserve">four </w:t>
      </w:r>
      <w:r w:rsidRPr="008F55F7">
        <w:rPr>
          <w:rFonts w:ascii="Trebuchet MS" w:hAnsi="Trebuchet MS"/>
          <w:sz w:val="28"/>
          <w:szCs w:val="28"/>
        </w:rPr>
        <w:t xml:space="preserve">children </w:t>
      </w:r>
      <w:r w:rsidR="00D846E6">
        <w:rPr>
          <w:rFonts w:ascii="Trebuchet MS" w:hAnsi="Trebuchet MS"/>
          <w:sz w:val="28"/>
          <w:szCs w:val="28"/>
        </w:rPr>
        <w:t xml:space="preserve">looked after and </w:t>
      </w:r>
      <w:r w:rsidR="00F5778E">
        <w:rPr>
          <w:rFonts w:ascii="Trebuchet MS" w:hAnsi="Trebuchet MS"/>
          <w:sz w:val="28"/>
          <w:szCs w:val="28"/>
        </w:rPr>
        <w:t>2</w:t>
      </w:r>
      <w:r w:rsidR="00D846E6">
        <w:rPr>
          <w:rFonts w:ascii="Trebuchet MS" w:hAnsi="Trebuchet MS"/>
          <w:sz w:val="28"/>
          <w:szCs w:val="28"/>
        </w:rPr>
        <w:t xml:space="preserve"> formerly in care</w:t>
      </w:r>
      <w:r w:rsidRPr="008F55F7">
        <w:rPr>
          <w:rFonts w:ascii="Trebuchet MS" w:hAnsi="Trebuchet MS"/>
          <w:sz w:val="28"/>
          <w:szCs w:val="28"/>
        </w:rPr>
        <w:t xml:space="preserve">. However, these figures are constantly changing. </w:t>
      </w:r>
    </w:p>
    <w:p w14:paraId="000F53C3" w14:textId="253B12B7"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Unfortunately, domestic violence, drug and alcohol abuse, neglect and poor housing are factors that frequently have to be overcome. Pupil mobility </w:t>
      </w:r>
      <w:r w:rsidR="007C0716">
        <w:rPr>
          <w:rFonts w:ascii="Trebuchet MS" w:hAnsi="Trebuchet MS"/>
          <w:sz w:val="28"/>
          <w:szCs w:val="28"/>
        </w:rPr>
        <w:t xml:space="preserve">has fluctuated over the past three years. In </w:t>
      </w:r>
      <w:r w:rsidR="00980D6C">
        <w:rPr>
          <w:rFonts w:ascii="Trebuchet MS" w:hAnsi="Trebuchet MS"/>
          <w:sz w:val="28"/>
          <w:szCs w:val="28"/>
        </w:rPr>
        <w:t>202</w:t>
      </w:r>
      <w:r w:rsidR="008353DB">
        <w:rPr>
          <w:rFonts w:ascii="Trebuchet MS" w:hAnsi="Trebuchet MS"/>
          <w:sz w:val="28"/>
          <w:szCs w:val="28"/>
        </w:rPr>
        <w:t>5-26</w:t>
      </w:r>
      <w:r w:rsidR="007C0716">
        <w:rPr>
          <w:rFonts w:ascii="Trebuchet MS" w:hAnsi="Trebuchet MS"/>
          <w:sz w:val="28"/>
          <w:szCs w:val="28"/>
        </w:rPr>
        <w:t>, 1</w:t>
      </w:r>
      <w:r w:rsidR="00F5778E">
        <w:rPr>
          <w:rFonts w:ascii="Trebuchet MS" w:hAnsi="Trebuchet MS"/>
          <w:sz w:val="28"/>
          <w:szCs w:val="28"/>
        </w:rPr>
        <w:t>3</w:t>
      </w:r>
      <w:r w:rsidR="007C0716">
        <w:rPr>
          <w:rFonts w:ascii="Trebuchet MS" w:hAnsi="Trebuchet MS"/>
          <w:sz w:val="28"/>
          <w:szCs w:val="28"/>
        </w:rPr>
        <w:t xml:space="preserve"> children have joined Dordon and </w:t>
      </w:r>
      <w:r w:rsidR="00F5778E">
        <w:rPr>
          <w:rFonts w:ascii="Trebuchet MS" w:hAnsi="Trebuchet MS"/>
          <w:sz w:val="28"/>
          <w:szCs w:val="28"/>
        </w:rPr>
        <w:t xml:space="preserve">11 </w:t>
      </w:r>
      <w:r w:rsidR="007C0716">
        <w:rPr>
          <w:rFonts w:ascii="Trebuchet MS" w:hAnsi="Trebuchet MS"/>
          <w:sz w:val="28"/>
          <w:szCs w:val="28"/>
        </w:rPr>
        <w:t xml:space="preserve">children have left. The </w:t>
      </w:r>
      <w:r w:rsidR="00F5778E">
        <w:rPr>
          <w:rFonts w:ascii="Trebuchet MS" w:hAnsi="Trebuchet MS"/>
          <w:sz w:val="28"/>
          <w:szCs w:val="28"/>
        </w:rPr>
        <w:t xml:space="preserve">whole school </w:t>
      </w:r>
      <w:r w:rsidR="00980D6C">
        <w:rPr>
          <w:rFonts w:ascii="Trebuchet MS" w:hAnsi="Trebuchet MS"/>
          <w:sz w:val="28"/>
          <w:szCs w:val="28"/>
        </w:rPr>
        <w:t>total fluctuates between 200 and 210 children</w:t>
      </w:r>
      <w:r w:rsidR="007C0716">
        <w:rPr>
          <w:rFonts w:ascii="Trebuchet MS" w:hAnsi="Trebuchet MS"/>
          <w:sz w:val="28"/>
          <w:szCs w:val="28"/>
        </w:rPr>
        <w:t xml:space="preserve">. There will be </w:t>
      </w:r>
      <w:r w:rsidR="00980D6C">
        <w:rPr>
          <w:rFonts w:ascii="Trebuchet MS" w:hAnsi="Trebuchet MS"/>
          <w:sz w:val="28"/>
          <w:szCs w:val="28"/>
        </w:rPr>
        <w:t xml:space="preserve">28 children joining </w:t>
      </w:r>
      <w:r w:rsidR="007C0716">
        <w:rPr>
          <w:rFonts w:ascii="Trebuchet MS" w:hAnsi="Trebuchet MS"/>
          <w:sz w:val="28"/>
          <w:szCs w:val="28"/>
        </w:rPr>
        <w:t xml:space="preserve">in September. </w:t>
      </w:r>
      <w:r>
        <w:rPr>
          <w:rFonts w:ascii="Trebuchet MS" w:hAnsi="Trebuchet MS"/>
          <w:sz w:val="28"/>
          <w:szCs w:val="28"/>
        </w:rPr>
        <w:t>The percentage</w:t>
      </w:r>
      <w:r w:rsidRPr="008F55F7">
        <w:rPr>
          <w:rFonts w:ascii="Trebuchet MS" w:hAnsi="Trebuchet MS"/>
          <w:sz w:val="28"/>
          <w:szCs w:val="28"/>
        </w:rPr>
        <w:t xml:space="preserve"> of children eligible for free school meals is above the ave</w:t>
      </w:r>
      <w:r>
        <w:rPr>
          <w:rFonts w:ascii="Trebuchet MS" w:hAnsi="Trebuchet MS"/>
          <w:sz w:val="28"/>
          <w:szCs w:val="28"/>
        </w:rPr>
        <w:t>rage</w:t>
      </w:r>
      <w:r w:rsidRPr="008F55F7">
        <w:rPr>
          <w:rFonts w:ascii="Trebuchet MS" w:hAnsi="Trebuchet MS"/>
          <w:sz w:val="28"/>
          <w:szCs w:val="28"/>
        </w:rPr>
        <w:t xml:space="preserve">. </w:t>
      </w:r>
      <w:r w:rsidR="00980D6C">
        <w:rPr>
          <w:rFonts w:ascii="Trebuchet MS" w:hAnsi="Trebuchet MS"/>
          <w:sz w:val="28"/>
          <w:szCs w:val="28"/>
        </w:rPr>
        <w:t>59</w:t>
      </w:r>
      <w:r w:rsidR="00122FC7">
        <w:rPr>
          <w:rFonts w:ascii="Trebuchet MS" w:hAnsi="Trebuchet MS"/>
          <w:sz w:val="28"/>
          <w:szCs w:val="28"/>
        </w:rPr>
        <w:t xml:space="preserve"> </w:t>
      </w:r>
      <w:r w:rsidRPr="008F55F7">
        <w:rPr>
          <w:rFonts w:ascii="Trebuchet MS" w:hAnsi="Trebuchet MS"/>
          <w:sz w:val="28"/>
          <w:szCs w:val="28"/>
        </w:rPr>
        <w:t>children were entitled to PPG (</w:t>
      </w:r>
      <w:r w:rsidR="00980D6C">
        <w:rPr>
          <w:rFonts w:ascii="Trebuchet MS" w:hAnsi="Trebuchet MS"/>
          <w:sz w:val="28"/>
          <w:szCs w:val="28"/>
        </w:rPr>
        <w:t>29</w:t>
      </w:r>
      <w:r w:rsidRPr="008F55F7">
        <w:rPr>
          <w:rFonts w:ascii="Trebuchet MS" w:hAnsi="Trebuchet MS"/>
          <w:sz w:val="28"/>
          <w:szCs w:val="28"/>
        </w:rPr>
        <w:t>%)</w:t>
      </w:r>
      <w:r w:rsidR="007D535D">
        <w:rPr>
          <w:rFonts w:ascii="Trebuchet MS" w:hAnsi="Trebuchet MS"/>
          <w:sz w:val="28"/>
          <w:szCs w:val="28"/>
        </w:rPr>
        <w:t xml:space="preserve"> </w:t>
      </w:r>
      <w:r w:rsidR="009E5F3B">
        <w:rPr>
          <w:rFonts w:ascii="Trebuchet MS" w:hAnsi="Trebuchet MS"/>
          <w:sz w:val="28"/>
          <w:szCs w:val="28"/>
        </w:rPr>
        <w:t xml:space="preserve">all </w:t>
      </w:r>
      <w:r w:rsidR="007D535D">
        <w:rPr>
          <w:rFonts w:ascii="Trebuchet MS" w:hAnsi="Trebuchet MS"/>
          <w:sz w:val="28"/>
          <w:szCs w:val="28"/>
        </w:rPr>
        <w:t>of these are currently in receipt of FSM</w:t>
      </w:r>
      <w:r w:rsidRPr="008F55F7">
        <w:rPr>
          <w:rFonts w:ascii="Trebuchet MS" w:hAnsi="Trebuchet MS"/>
          <w:sz w:val="28"/>
          <w:szCs w:val="28"/>
        </w:rPr>
        <w:t xml:space="preserve">. </w:t>
      </w:r>
      <w:r w:rsidR="00122FC7">
        <w:rPr>
          <w:rFonts w:ascii="Trebuchet MS" w:hAnsi="Trebuchet MS"/>
          <w:sz w:val="28"/>
          <w:szCs w:val="28"/>
        </w:rPr>
        <w:t>5</w:t>
      </w:r>
      <w:r w:rsidR="00980D6C">
        <w:rPr>
          <w:rFonts w:ascii="Trebuchet MS" w:hAnsi="Trebuchet MS"/>
          <w:sz w:val="28"/>
          <w:szCs w:val="28"/>
        </w:rPr>
        <w:t>7</w:t>
      </w:r>
      <w:r w:rsidRPr="008F55F7">
        <w:rPr>
          <w:rFonts w:ascii="Trebuchet MS" w:hAnsi="Trebuchet MS"/>
          <w:sz w:val="28"/>
          <w:szCs w:val="28"/>
        </w:rPr>
        <w:t xml:space="preserve"> children (</w:t>
      </w:r>
      <w:r w:rsidR="00122FC7">
        <w:rPr>
          <w:rFonts w:ascii="Trebuchet MS" w:hAnsi="Trebuchet MS"/>
          <w:sz w:val="28"/>
          <w:szCs w:val="28"/>
        </w:rPr>
        <w:t>2</w:t>
      </w:r>
      <w:r w:rsidR="00980D6C">
        <w:rPr>
          <w:rFonts w:ascii="Trebuchet MS" w:hAnsi="Trebuchet MS"/>
          <w:sz w:val="28"/>
          <w:szCs w:val="28"/>
        </w:rPr>
        <w:t>8</w:t>
      </w:r>
      <w:r w:rsidRPr="008F55F7">
        <w:rPr>
          <w:rFonts w:ascii="Trebuchet MS" w:hAnsi="Trebuchet MS"/>
          <w:sz w:val="28"/>
          <w:szCs w:val="28"/>
        </w:rPr>
        <w:t xml:space="preserve">%) were on the school's SEN register, </w:t>
      </w:r>
      <w:r w:rsidR="00980D6C">
        <w:rPr>
          <w:rFonts w:ascii="Trebuchet MS" w:hAnsi="Trebuchet MS"/>
          <w:sz w:val="28"/>
          <w:szCs w:val="28"/>
        </w:rPr>
        <w:t>4</w:t>
      </w:r>
      <w:r w:rsidRPr="008F55F7">
        <w:rPr>
          <w:rFonts w:ascii="Trebuchet MS" w:hAnsi="Trebuchet MS"/>
          <w:sz w:val="28"/>
          <w:szCs w:val="28"/>
        </w:rPr>
        <w:t xml:space="preserve"> with an Education, Health and Care Plan (EHC Plan). In addition, </w:t>
      </w:r>
      <w:r w:rsidR="007C0716">
        <w:rPr>
          <w:rFonts w:ascii="Trebuchet MS" w:hAnsi="Trebuchet MS"/>
          <w:sz w:val="28"/>
          <w:szCs w:val="28"/>
        </w:rPr>
        <w:t>4</w:t>
      </w:r>
      <w:r w:rsidR="00980D6C">
        <w:rPr>
          <w:rFonts w:ascii="Trebuchet MS" w:hAnsi="Trebuchet MS"/>
          <w:sz w:val="28"/>
          <w:szCs w:val="28"/>
        </w:rPr>
        <w:t>0</w:t>
      </w:r>
      <w:r w:rsidRPr="008F55F7">
        <w:rPr>
          <w:rFonts w:ascii="Trebuchet MS" w:hAnsi="Trebuchet MS"/>
          <w:sz w:val="28"/>
          <w:szCs w:val="28"/>
        </w:rPr>
        <w:t xml:space="preserve">% of the pupils on the SEN Register were also entitled to </w:t>
      </w:r>
      <w:r>
        <w:rPr>
          <w:rFonts w:ascii="Trebuchet MS" w:hAnsi="Trebuchet MS"/>
          <w:sz w:val="28"/>
          <w:szCs w:val="28"/>
        </w:rPr>
        <w:t>PPG</w:t>
      </w:r>
    </w:p>
    <w:p w14:paraId="670D20BA" w14:textId="77777777" w:rsidR="00292D86" w:rsidRPr="008F55F7" w:rsidRDefault="00292D86" w:rsidP="00292D86">
      <w:pPr>
        <w:pStyle w:val="Default"/>
        <w:rPr>
          <w:rFonts w:ascii="Trebuchet MS" w:hAnsi="Trebuchet MS"/>
          <w:sz w:val="28"/>
          <w:szCs w:val="28"/>
        </w:rPr>
      </w:pPr>
    </w:p>
    <w:p w14:paraId="7DAD64F2" w14:textId="77777777"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Eliminating discrimination and other conduct that is prohibited by the Act </w:t>
      </w:r>
    </w:p>
    <w:p w14:paraId="00069C8B" w14:textId="77777777"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The information provided here aims to demonstrate that we give careful consideration to equality issues in everything that we do at </w:t>
      </w:r>
      <w:r>
        <w:rPr>
          <w:rFonts w:ascii="Trebuchet MS" w:hAnsi="Trebuchet MS"/>
          <w:sz w:val="28"/>
          <w:szCs w:val="28"/>
        </w:rPr>
        <w:t>Dordon</w:t>
      </w:r>
      <w:r w:rsidRPr="008F55F7">
        <w:rPr>
          <w:rFonts w:ascii="Trebuchet MS" w:hAnsi="Trebuchet MS"/>
          <w:sz w:val="28"/>
          <w:szCs w:val="28"/>
        </w:rPr>
        <w:t xml:space="preserve"> Primary School. ‘Due regard’ ensures that we work towards eliminating discrimination, harassment and victimisation and other conduct that is prohibited by the Equality Act. </w:t>
      </w:r>
    </w:p>
    <w:p w14:paraId="18B02118" w14:textId="77777777"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We are committed to working for equality for all our staff, parents/carers and children to meet our duties under the Equality Act 2010. </w:t>
      </w:r>
    </w:p>
    <w:p w14:paraId="37F249B9" w14:textId="77777777" w:rsidR="00292D86" w:rsidRPr="008F55F7" w:rsidRDefault="00292D86" w:rsidP="00292D86">
      <w:pPr>
        <w:pStyle w:val="Default"/>
        <w:rPr>
          <w:rFonts w:ascii="Trebuchet MS" w:hAnsi="Trebuchet MS"/>
          <w:sz w:val="28"/>
          <w:szCs w:val="28"/>
        </w:rPr>
      </w:pPr>
    </w:p>
    <w:p w14:paraId="65030196" w14:textId="77777777"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We eliminate discrimination by: </w:t>
      </w:r>
    </w:p>
    <w:p w14:paraId="3F60B4C7"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Adoption of the single Equality Scheme </w:t>
      </w:r>
    </w:p>
    <w:p w14:paraId="7C041599"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lastRenderedPageBreak/>
        <w:t>Our</w:t>
      </w:r>
      <w:r w:rsidR="007D535D">
        <w:rPr>
          <w:rFonts w:ascii="Trebuchet MS" w:hAnsi="Trebuchet MS"/>
          <w:sz w:val="28"/>
          <w:szCs w:val="28"/>
        </w:rPr>
        <w:t xml:space="preserve"> relational (behaviour)</w:t>
      </w:r>
      <w:r w:rsidRPr="008F55F7">
        <w:rPr>
          <w:rFonts w:ascii="Trebuchet MS" w:hAnsi="Trebuchet MS"/>
          <w:sz w:val="28"/>
          <w:szCs w:val="28"/>
        </w:rPr>
        <w:t xml:space="preserve"> policy ensures that all children feel safe at school and addresses prejudicial bullying </w:t>
      </w:r>
    </w:p>
    <w:p w14:paraId="43BD9095"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Reporting, responding to and monitoring all racist incidents </w:t>
      </w:r>
    </w:p>
    <w:p w14:paraId="5A6083A9"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Regularly monitoring the curriculum to ensure that the curriculum meets the needs of our pupils and that it promotes respect for diversity and challenges negative stereotyping </w:t>
      </w:r>
    </w:p>
    <w:p w14:paraId="43A7DAF0" w14:textId="77777777" w:rsidR="00292D86" w:rsidRPr="008F55F7" w:rsidRDefault="00292D86" w:rsidP="00292D86">
      <w:pPr>
        <w:pStyle w:val="Default"/>
        <w:numPr>
          <w:ilvl w:val="0"/>
          <w:numId w:val="1"/>
        </w:numPr>
        <w:ind w:left="426" w:right="-472" w:hanging="426"/>
        <w:rPr>
          <w:rFonts w:ascii="Trebuchet MS" w:hAnsi="Trebuchet MS"/>
          <w:sz w:val="28"/>
          <w:szCs w:val="28"/>
        </w:rPr>
      </w:pPr>
      <w:r w:rsidRPr="008F55F7">
        <w:rPr>
          <w:rFonts w:ascii="Trebuchet MS" w:hAnsi="Trebuchet MS"/>
          <w:sz w:val="28"/>
          <w:szCs w:val="28"/>
        </w:rPr>
        <w:t xml:space="preserve">Teaching is of the highest quality to ensure children reach their </w:t>
      </w:r>
      <w:r>
        <w:rPr>
          <w:rFonts w:ascii="Trebuchet MS" w:hAnsi="Trebuchet MS"/>
          <w:sz w:val="28"/>
          <w:szCs w:val="28"/>
        </w:rPr>
        <w:t>p</w:t>
      </w:r>
      <w:r w:rsidRPr="008F55F7">
        <w:rPr>
          <w:rFonts w:ascii="Trebuchet MS" w:hAnsi="Trebuchet MS"/>
          <w:sz w:val="28"/>
          <w:szCs w:val="28"/>
        </w:rPr>
        <w:t xml:space="preserve">otential and all pupils are given equal entitlement to success </w:t>
      </w:r>
    </w:p>
    <w:p w14:paraId="1986FC49"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Tracking pupil progress to ensure that all children make rapid progress, and intervening when necessary </w:t>
      </w:r>
    </w:p>
    <w:p w14:paraId="6A8940DA" w14:textId="77777777" w:rsidR="00292D86"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Ensuring that all pupils have the opportunity to access extra-curricular provision </w:t>
      </w:r>
    </w:p>
    <w:p w14:paraId="2E89DE36" w14:textId="77777777"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Listening to and monitoring views and experiences of pupils and adults to evaluate the effectiveness of our policies and procedures. </w:t>
      </w:r>
    </w:p>
    <w:p w14:paraId="7A1E907C" w14:textId="77777777" w:rsidR="00292D86"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Advancing equality of opportunity between people who share a protected characteristic and people who do not share it </w:t>
      </w:r>
    </w:p>
    <w:p w14:paraId="0199E135" w14:textId="77777777" w:rsidR="00292D86" w:rsidRDefault="00292D86" w:rsidP="00292D86">
      <w:pPr>
        <w:pStyle w:val="Default"/>
        <w:rPr>
          <w:rFonts w:ascii="Trebuchet MS" w:hAnsi="Trebuchet MS"/>
          <w:sz w:val="28"/>
          <w:szCs w:val="28"/>
        </w:rPr>
      </w:pPr>
    </w:p>
    <w:p w14:paraId="076160FC" w14:textId="77777777" w:rsidR="00292D86" w:rsidRPr="008F55F7" w:rsidRDefault="00292D86" w:rsidP="00292D86">
      <w:pPr>
        <w:pStyle w:val="Default"/>
        <w:rPr>
          <w:rFonts w:ascii="Trebuchet MS" w:hAnsi="Trebuchet MS"/>
          <w:sz w:val="28"/>
          <w:szCs w:val="28"/>
        </w:rPr>
      </w:pPr>
    </w:p>
    <w:p w14:paraId="3DD255E6" w14:textId="77777777"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We advance equality of opportunity by: </w:t>
      </w:r>
    </w:p>
    <w:p w14:paraId="4936404B" w14:textId="77777777"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Using the information we gather to identify underachieving groups or individuals and plan targeted intervention </w:t>
      </w:r>
    </w:p>
    <w:p w14:paraId="414D5669" w14:textId="77777777"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participation of parents/carers and pupils in school development </w:t>
      </w:r>
    </w:p>
    <w:p w14:paraId="4EF8D9D4" w14:textId="77777777"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parents/carers </w:t>
      </w:r>
    </w:p>
    <w:p w14:paraId="3BC97222" w14:textId="77777777"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pupils at all times </w:t>
      </w:r>
    </w:p>
    <w:p w14:paraId="3A2C4D35" w14:textId="77777777" w:rsidR="00292D86"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Fostering good relations across all characteristics - between people who share a protected characteristic and people who do not share it </w:t>
      </w:r>
    </w:p>
    <w:p w14:paraId="509AAF56" w14:textId="77777777" w:rsidR="00292D86" w:rsidRDefault="00292D86" w:rsidP="00292D86">
      <w:pPr>
        <w:pStyle w:val="Default"/>
        <w:rPr>
          <w:rFonts w:ascii="Trebuchet MS" w:hAnsi="Trebuchet MS"/>
          <w:sz w:val="28"/>
          <w:szCs w:val="28"/>
        </w:rPr>
      </w:pPr>
    </w:p>
    <w:p w14:paraId="59456236" w14:textId="77777777" w:rsidR="00292D86" w:rsidRPr="008F55F7" w:rsidRDefault="00292D86" w:rsidP="00292D86">
      <w:pPr>
        <w:pStyle w:val="Default"/>
        <w:rPr>
          <w:rFonts w:ascii="Trebuchet MS" w:hAnsi="Trebuchet MS"/>
          <w:sz w:val="28"/>
          <w:szCs w:val="28"/>
        </w:rPr>
      </w:pPr>
    </w:p>
    <w:p w14:paraId="55D5A801" w14:textId="77777777" w:rsidR="00292D86" w:rsidRPr="003528A1" w:rsidRDefault="00292D86" w:rsidP="00292D86">
      <w:pPr>
        <w:pStyle w:val="Default"/>
        <w:rPr>
          <w:rFonts w:ascii="Trebuchet MS" w:hAnsi="Trebuchet MS"/>
          <w:b/>
          <w:sz w:val="28"/>
          <w:szCs w:val="28"/>
        </w:rPr>
      </w:pPr>
      <w:r w:rsidRPr="003528A1">
        <w:rPr>
          <w:rFonts w:ascii="Trebuchet MS" w:hAnsi="Trebuchet MS"/>
          <w:b/>
          <w:sz w:val="28"/>
          <w:szCs w:val="28"/>
        </w:rPr>
        <w:t xml:space="preserve">We foster good relations by: </w:t>
      </w:r>
    </w:p>
    <w:p w14:paraId="009B07E8" w14:textId="77777777"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w:t>
      </w:r>
      <w:r>
        <w:rPr>
          <w:rFonts w:ascii="Trebuchet MS" w:hAnsi="Trebuchet MS"/>
          <w:sz w:val="28"/>
          <w:szCs w:val="28"/>
        </w:rPr>
        <w:t>Dordon</w:t>
      </w:r>
      <w:r w:rsidRPr="008F55F7">
        <w:rPr>
          <w:rFonts w:ascii="Trebuchet MS" w:hAnsi="Trebuchet MS"/>
          <w:sz w:val="28"/>
          <w:szCs w:val="28"/>
        </w:rPr>
        <w:t xml:space="preserve"> Primary School is seen as a community school within our local community </w:t>
      </w:r>
    </w:p>
    <w:p w14:paraId="568B0514" w14:textId="77777777" w:rsidR="00292D86"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equality and diversity are embedded in the curriculum and in collective worship. </w:t>
      </w:r>
    </w:p>
    <w:p w14:paraId="2E4EBA24" w14:textId="77777777" w:rsidR="004B0856" w:rsidRDefault="004B0856"/>
    <w:sectPr w:rsidR="004B0856" w:rsidSect="00292D86">
      <w:pgSz w:w="11906" w:h="16838"/>
      <w:pgMar w:top="1440" w:right="1440" w:bottom="1440" w:left="1440" w:header="708" w:footer="708" w:gutter="0"/>
      <w:pgBorders w:offsetFrom="page">
        <w:top w:val="thickThinSmallGap" w:sz="24" w:space="24" w:color="002060"/>
        <w:left w:val="thickThinSmallGap" w:sz="24" w:space="24" w:color="002060"/>
        <w:bottom w:val="thinThickSmallGap" w:sz="24" w:space="24" w:color="002060"/>
        <w:right w:val="thinThick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21AFA"/>
    <w:multiLevelType w:val="hybridMultilevel"/>
    <w:tmpl w:val="5510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E78"/>
    <w:multiLevelType w:val="hybridMultilevel"/>
    <w:tmpl w:val="882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86"/>
    <w:rsid w:val="00122FC7"/>
    <w:rsid w:val="00292D86"/>
    <w:rsid w:val="004B0856"/>
    <w:rsid w:val="007C0716"/>
    <w:rsid w:val="007D535D"/>
    <w:rsid w:val="008353DB"/>
    <w:rsid w:val="0094444B"/>
    <w:rsid w:val="00980D6C"/>
    <w:rsid w:val="009E5F3B"/>
    <w:rsid w:val="00D846E6"/>
    <w:rsid w:val="00E456F7"/>
    <w:rsid w:val="00F5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03BA"/>
  <w15:chartTrackingRefBased/>
  <w15:docId w15:val="{185F82BD-33C8-4572-880B-7EA93801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3</cp:revision>
  <dcterms:created xsi:type="dcterms:W3CDTF">2026-07-01T09:40:00Z</dcterms:created>
  <dcterms:modified xsi:type="dcterms:W3CDTF">2026-07-01T09:40:00Z</dcterms:modified>
</cp:coreProperties>
</file>